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Pr="00957C6B" w:rsidRDefault="00BB7F4F" w:rsidP="00BB7F4F">
      <w:pPr>
        <w:jc w:val="center"/>
        <w:rPr>
          <w:rFonts w:ascii="Arial" w:hAnsi="Arial" w:cs="Arial"/>
          <w:b/>
          <w:sz w:val="24"/>
        </w:rPr>
      </w:pPr>
    </w:p>
    <w:p w:rsidR="009107E6" w:rsidRDefault="0033302C" w:rsidP="009107E6">
      <w:pPr>
        <w:jc w:val="center"/>
        <w:rPr>
          <w:rFonts w:cs="Arial"/>
          <w:b/>
          <w:i/>
          <w:sz w:val="24"/>
        </w:rPr>
      </w:pPr>
      <w:r w:rsidRPr="00957C6B">
        <w:rPr>
          <w:rFonts w:cs="Arial"/>
          <w:b/>
          <w:i/>
          <w:sz w:val="24"/>
        </w:rPr>
        <w:t>AN</w:t>
      </w:r>
      <w:r w:rsidR="006645CC">
        <w:rPr>
          <w:rFonts w:cs="Arial"/>
          <w:b/>
          <w:i/>
          <w:sz w:val="24"/>
        </w:rPr>
        <w:t>2</w:t>
      </w:r>
      <w:r w:rsidR="009B6D29" w:rsidRPr="00957C6B">
        <w:rPr>
          <w:rFonts w:cs="Arial"/>
          <w:b/>
          <w:i/>
          <w:sz w:val="24"/>
        </w:rPr>
        <w:t>.</w:t>
      </w:r>
      <w:r w:rsidR="001B4251" w:rsidRPr="00957C6B">
        <w:rPr>
          <w:rFonts w:cs="Arial"/>
          <w:b/>
          <w:i/>
          <w:sz w:val="24"/>
        </w:rPr>
        <w:t>1</w:t>
      </w:r>
      <w:r w:rsidR="009107E6">
        <w:rPr>
          <w:rFonts w:cs="Arial"/>
          <w:b/>
          <w:i/>
          <w:sz w:val="24"/>
        </w:rPr>
        <w:t>4</w:t>
      </w:r>
      <w:r w:rsidRPr="00957C6B">
        <w:rPr>
          <w:rFonts w:cs="Arial"/>
          <w:b/>
          <w:i/>
          <w:sz w:val="24"/>
        </w:rPr>
        <w:t xml:space="preserve"> – </w:t>
      </w:r>
      <w:r w:rsidR="009107E6" w:rsidRPr="009107E6">
        <w:rPr>
          <w:rFonts w:cs="Arial"/>
          <w:b/>
          <w:i/>
          <w:sz w:val="24"/>
        </w:rPr>
        <w:t xml:space="preserve">Descrição das razões pelas quais as caraterísticas </w:t>
      </w:r>
    </w:p>
    <w:p w:rsidR="009107E6" w:rsidRDefault="009107E6" w:rsidP="009107E6">
      <w:pPr>
        <w:jc w:val="center"/>
        <w:rPr>
          <w:rFonts w:cs="Arial"/>
          <w:b/>
          <w:i/>
          <w:sz w:val="24"/>
        </w:rPr>
      </w:pPr>
      <w:r w:rsidRPr="009107E6">
        <w:rPr>
          <w:rFonts w:cs="Arial"/>
          <w:b/>
          <w:i/>
          <w:sz w:val="24"/>
        </w:rPr>
        <w:t>das descargas não estão de acordo com as MTD</w:t>
      </w:r>
    </w:p>
    <w:p w:rsidR="009107E6" w:rsidRDefault="009107E6" w:rsidP="009107E6">
      <w:pPr>
        <w:jc w:val="center"/>
        <w:rPr>
          <w:rFonts w:cs="Arial"/>
          <w:b/>
          <w:i/>
          <w:sz w:val="24"/>
        </w:rPr>
      </w:pPr>
      <w:r w:rsidRPr="009107E6">
        <w:rPr>
          <w:rFonts w:cs="Arial"/>
          <w:b/>
          <w:i/>
          <w:sz w:val="24"/>
        </w:rPr>
        <w:t xml:space="preserve"> ou com os OQA</w:t>
      </w:r>
    </w:p>
    <w:p w:rsidR="009107E6" w:rsidRDefault="009107E6">
      <w:pPr>
        <w:jc w:val="left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br w:type="page"/>
      </w:r>
    </w:p>
    <w:p w:rsidR="00302E1F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>Na instalação do Matadouro de São Miguel são gerados dois tipos de efluentes líquidos, designadame</w:t>
      </w:r>
      <w:r w:rsidR="00302E1F">
        <w:rPr>
          <w:rFonts w:cs="Arial"/>
          <w:szCs w:val="22"/>
        </w:rPr>
        <w:t xml:space="preserve">nte, águas residuais domésticas, provenientes das instalações sociais, </w:t>
      </w:r>
      <w:r>
        <w:rPr>
          <w:rFonts w:cs="Arial"/>
          <w:szCs w:val="22"/>
        </w:rPr>
        <w:t xml:space="preserve">e águas residuais industriais, </w:t>
      </w:r>
      <w:r w:rsidR="00302E1F">
        <w:rPr>
          <w:rFonts w:cs="Arial"/>
          <w:szCs w:val="22"/>
        </w:rPr>
        <w:t>cuja c</w:t>
      </w:r>
      <w:r w:rsidR="00CD2609">
        <w:rPr>
          <w:rFonts w:cs="Arial"/>
          <w:szCs w:val="22"/>
        </w:rPr>
        <w:t>omposição é a seguinte:</w:t>
      </w:r>
    </w:p>
    <w:p w:rsidR="00CD2609" w:rsidRDefault="00CD2609" w:rsidP="009107E6">
      <w:pPr>
        <w:rPr>
          <w:rFonts w:cs="Arial"/>
          <w:szCs w:val="22"/>
        </w:rPr>
      </w:pPr>
      <w:r>
        <w:rPr>
          <w:rFonts w:cs="Arial"/>
          <w:szCs w:val="22"/>
        </w:rPr>
        <w:tab/>
        <w:t xml:space="preserve">- </w:t>
      </w:r>
      <w:r w:rsidR="00FF7254">
        <w:rPr>
          <w:rFonts w:cs="Arial"/>
          <w:szCs w:val="22"/>
        </w:rPr>
        <w:t>Águas</w:t>
      </w:r>
      <w:r>
        <w:rPr>
          <w:rFonts w:cs="Arial"/>
          <w:szCs w:val="22"/>
        </w:rPr>
        <w:t xml:space="preserve"> resultantes do processo de abate e das unidades de tratamento de </w:t>
      </w:r>
      <w:proofErr w:type="spellStart"/>
      <w:r>
        <w:rPr>
          <w:rFonts w:cs="Arial"/>
          <w:szCs w:val="22"/>
        </w:rPr>
        <w:t>sub-produtos</w:t>
      </w:r>
      <w:proofErr w:type="spellEnd"/>
      <w:r>
        <w:rPr>
          <w:rFonts w:cs="Arial"/>
          <w:szCs w:val="22"/>
        </w:rPr>
        <w:t xml:space="preserve"> e preparados de carne;</w:t>
      </w:r>
    </w:p>
    <w:p w:rsidR="00CD2609" w:rsidRDefault="00FF7254" w:rsidP="009107E6">
      <w:pPr>
        <w:rPr>
          <w:rFonts w:cs="Arial"/>
          <w:szCs w:val="22"/>
        </w:rPr>
      </w:pPr>
      <w:r>
        <w:rPr>
          <w:rFonts w:cs="Arial"/>
          <w:szCs w:val="22"/>
        </w:rPr>
        <w:tab/>
        <w:t>- Águas pluviais provenientes da bacia de retenção dos depósitos de fuelóleo;</w:t>
      </w:r>
    </w:p>
    <w:p w:rsidR="00FF7254" w:rsidRDefault="00FF7254" w:rsidP="009107E6">
      <w:pPr>
        <w:rPr>
          <w:rFonts w:cs="Arial"/>
          <w:szCs w:val="22"/>
        </w:rPr>
      </w:pPr>
      <w:r>
        <w:rPr>
          <w:rFonts w:cs="Arial"/>
          <w:szCs w:val="22"/>
        </w:rPr>
        <w:tab/>
        <w:t>- Águas pluviais provenientes do separador de hidrocarbonetos, instalado no posto de abastecimento de combustíveis;</w:t>
      </w:r>
    </w:p>
    <w:p w:rsidR="00FF7254" w:rsidRDefault="00FF7254" w:rsidP="009107E6">
      <w:pPr>
        <w:rPr>
          <w:rFonts w:cs="Arial"/>
          <w:szCs w:val="22"/>
        </w:rPr>
      </w:pPr>
      <w:r>
        <w:rPr>
          <w:rFonts w:cs="Arial"/>
          <w:szCs w:val="22"/>
        </w:rPr>
        <w:tab/>
        <w:t>- Águas pluviais contaminadas provenientes da zona suja da instalação.</w:t>
      </w:r>
    </w:p>
    <w:p w:rsidR="00302E1F" w:rsidRDefault="00302E1F" w:rsidP="009107E6">
      <w:pPr>
        <w:rPr>
          <w:rFonts w:cs="Arial"/>
          <w:szCs w:val="22"/>
        </w:rPr>
      </w:pPr>
    </w:p>
    <w:p w:rsidR="009107E6" w:rsidRDefault="00FF7254" w:rsidP="009107E6">
      <w:pPr>
        <w:rPr>
          <w:rFonts w:cs="Arial"/>
          <w:szCs w:val="22"/>
        </w:rPr>
      </w:pPr>
      <w:r>
        <w:rPr>
          <w:rFonts w:cs="Arial"/>
          <w:szCs w:val="22"/>
        </w:rPr>
        <w:t>Estes dois tipos de efluentes são encaminhado</w:t>
      </w:r>
      <w:r w:rsidRPr="00C219E1">
        <w:rPr>
          <w:rFonts w:cs="Arial"/>
          <w:szCs w:val="22"/>
        </w:rPr>
        <w:t>s para tratamento na ETAR da instalação</w:t>
      </w:r>
      <w:r>
        <w:rPr>
          <w:rFonts w:cs="Arial"/>
          <w:szCs w:val="22"/>
        </w:rPr>
        <w:t xml:space="preserve"> e partilha</w:t>
      </w:r>
      <w:r w:rsidR="00B24E30">
        <w:rPr>
          <w:rFonts w:cs="Arial"/>
          <w:szCs w:val="22"/>
        </w:rPr>
        <w:t>m</w:t>
      </w:r>
      <w:r>
        <w:rPr>
          <w:rFonts w:cs="Arial"/>
          <w:szCs w:val="22"/>
        </w:rPr>
        <w:t xml:space="preserve"> a mesma rede de drenagem </w:t>
      </w:r>
      <w:r w:rsidR="00302E1F">
        <w:rPr>
          <w:rFonts w:cs="Arial"/>
          <w:szCs w:val="22"/>
        </w:rPr>
        <w:t>até ao ponto de descarga</w:t>
      </w:r>
      <w:r w:rsidR="009107E6">
        <w:rPr>
          <w:rFonts w:cs="Arial"/>
          <w:szCs w:val="22"/>
        </w:rPr>
        <w:t>.</w:t>
      </w:r>
    </w:p>
    <w:p w:rsidR="009107E6" w:rsidRDefault="009107E6" w:rsidP="009107E6">
      <w:pPr>
        <w:rPr>
          <w:rFonts w:cs="Arial"/>
          <w:szCs w:val="22"/>
        </w:rPr>
      </w:pPr>
    </w:p>
    <w:p w:rsidR="00302E1F" w:rsidRDefault="00B24E30" w:rsidP="009107E6">
      <w:pPr>
        <w:rPr>
          <w:rFonts w:cs="Arial"/>
          <w:szCs w:val="22"/>
        </w:rPr>
      </w:pPr>
      <w:r>
        <w:rPr>
          <w:rFonts w:cs="Arial"/>
          <w:szCs w:val="22"/>
        </w:rPr>
        <w:t>Uma vez entrados na ETAR, os efluentes são sujeitos a tratamento de acordo com as seguintes operações:</w:t>
      </w:r>
    </w:p>
    <w:p w:rsidR="00302E1F" w:rsidRDefault="00302E1F" w:rsidP="009107E6">
      <w:pPr>
        <w:rPr>
          <w:rFonts w:cs="Arial"/>
          <w:szCs w:val="22"/>
        </w:rPr>
      </w:pPr>
    </w:p>
    <w:p w:rsidR="00B24E30" w:rsidRDefault="00B24E30" w:rsidP="009107E6">
      <w:pPr>
        <w:rPr>
          <w:rFonts w:cs="Arial"/>
          <w:szCs w:val="22"/>
        </w:rPr>
      </w:pPr>
    </w:p>
    <w:p w:rsidR="009107E6" w:rsidRPr="001572C1" w:rsidRDefault="009107E6" w:rsidP="009107E6">
      <w:pPr>
        <w:pStyle w:val="Cabealho1"/>
      </w:pPr>
      <w:r w:rsidRPr="001572C1">
        <w:t>Gradagem/</w:t>
      </w:r>
      <w:proofErr w:type="spellStart"/>
      <w:r w:rsidRPr="001572C1">
        <w:t>Tamisagem</w:t>
      </w:r>
      <w:proofErr w:type="spellEnd"/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59264" behindDoc="1" locked="0" layoutInCell="1" allowOverlap="1" wp14:anchorId="7892227C" wp14:editId="1941F9D1">
            <wp:simplePos x="0" y="0"/>
            <wp:positionH relativeFrom="column">
              <wp:posOffset>4043045</wp:posOffset>
            </wp:positionH>
            <wp:positionV relativeFrom="paragraph">
              <wp:posOffset>241300</wp:posOffset>
            </wp:positionV>
            <wp:extent cx="1918970" cy="1438275"/>
            <wp:effectExtent l="38100" t="38100" r="24130" b="28575"/>
            <wp:wrapTight wrapText="bothSides">
              <wp:wrapPolygon edited="0">
                <wp:start x="1715" y="-572"/>
                <wp:lineTo x="-429" y="0"/>
                <wp:lineTo x="-429" y="20026"/>
                <wp:lineTo x="1930" y="22029"/>
                <wp:lineTo x="20156" y="22029"/>
                <wp:lineTo x="20371" y="21743"/>
                <wp:lineTo x="21872" y="18596"/>
                <wp:lineTo x="21872" y="3433"/>
                <wp:lineTo x="20585" y="286"/>
                <wp:lineTo x="19942" y="-572"/>
                <wp:lineTo x="1715" y="-572"/>
              </wp:wrapPolygon>
            </wp:wrapTight>
            <wp:docPr id="2" name="Imagem 1" descr="DSC02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973.JPG"/>
                    <pic:cNvPicPr/>
                  </pic:nvPicPr>
                  <pic:blipFill>
                    <a:blip r:embed="rId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918970" cy="14382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/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cs="Arial"/>
          <w:szCs w:val="22"/>
        </w:rPr>
        <w:t xml:space="preserve">O efluente proveniente da rede de esgotos industriais entra por força gravítica numa caixa de chegada. A partir desta caixa o efluente é encaminhado através de um canal para uma grelha mecânica para remoção de sólidos. 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Esta grelha possui um dispositivo de limpeza mecânica constituído por um jogo de raspadores com dentes metálicos com </w:t>
      </w:r>
      <w:proofErr w:type="spellStart"/>
      <w:r>
        <w:rPr>
          <w:rFonts w:cs="Arial"/>
          <w:szCs w:val="22"/>
        </w:rPr>
        <w:t>contralâminas</w:t>
      </w:r>
      <w:proofErr w:type="spellEnd"/>
      <w:r>
        <w:rPr>
          <w:rFonts w:cs="Arial"/>
          <w:szCs w:val="22"/>
        </w:rPr>
        <w:t xml:space="preserve"> em borracha. Estes raspadores estão ligados a duas cadeias acionados por um </w:t>
      </w:r>
      <w:proofErr w:type="spellStart"/>
      <w:r>
        <w:rPr>
          <w:rFonts w:cs="Arial"/>
          <w:szCs w:val="22"/>
        </w:rPr>
        <w:t>motoredutor</w:t>
      </w:r>
      <w:proofErr w:type="spellEnd"/>
      <w:r>
        <w:rPr>
          <w:rFonts w:cs="Arial"/>
          <w:szCs w:val="22"/>
        </w:rPr>
        <w:t>.</w:t>
      </w:r>
    </w:p>
    <w:p w:rsidR="009107E6" w:rsidRDefault="00671312" w:rsidP="009107E6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60288" behindDoc="1" locked="0" layoutInCell="1" allowOverlap="1" wp14:anchorId="315F8F69" wp14:editId="3A0D8D68">
            <wp:simplePos x="0" y="0"/>
            <wp:positionH relativeFrom="column">
              <wp:posOffset>20320</wp:posOffset>
            </wp:positionH>
            <wp:positionV relativeFrom="paragraph">
              <wp:posOffset>107315</wp:posOffset>
            </wp:positionV>
            <wp:extent cx="1920240" cy="1440180"/>
            <wp:effectExtent l="0" t="0" r="0" b="0"/>
            <wp:wrapTight wrapText="bothSides">
              <wp:wrapPolygon edited="0">
                <wp:start x="1286" y="0"/>
                <wp:lineTo x="0" y="1429"/>
                <wp:lineTo x="0" y="20000"/>
                <wp:lineTo x="1071" y="21429"/>
                <wp:lineTo x="20357" y="21429"/>
                <wp:lineTo x="21429" y="20000"/>
                <wp:lineTo x="21429" y="1143"/>
                <wp:lineTo x="20143" y="0"/>
                <wp:lineTo x="1286" y="0"/>
              </wp:wrapPolygon>
            </wp:wrapTight>
            <wp:docPr id="4" name="Imagem 3" descr="DSC029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982.JPG"/>
                    <pic:cNvPicPr/>
                  </pic:nvPicPr>
                  <pic:blipFill>
                    <a:blip r:embed="rId1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14401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Os elementos raspados são elevados e evacuados na parte superior da grelha e descarregados num contentor de recolha.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O </w:t>
      </w:r>
      <w:proofErr w:type="spellStart"/>
      <w:r>
        <w:rPr>
          <w:rFonts w:cs="Arial"/>
          <w:szCs w:val="22"/>
        </w:rPr>
        <w:t>motoredutor</w:t>
      </w:r>
      <w:proofErr w:type="spellEnd"/>
      <w:r>
        <w:rPr>
          <w:rFonts w:cs="Arial"/>
          <w:szCs w:val="22"/>
        </w:rPr>
        <w:t xml:space="preserve"> da grelha está equipado com uma paragem de emergência local e ainda por um limitador de binário. Sempre</w:t>
      </w:r>
      <w:r w:rsidR="008A1C3E">
        <w:rPr>
          <w:rFonts w:cs="Arial"/>
          <w:szCs w:val="22"/>
        </w:rPr>
        <w:t xml:space="preserve"> que um destes dispositivos é a</w:t>
      </w:r>
      <w:r>
        <w:rPr>
          <w:rFonts w:cs="Arial"/>
          <w:szCs w:val="22"/>
        </w:rPr>
        <w:t>tivado, irá parar imediatamente o moto-redutor</w:t>
      </w:r>
      <w:r w:rsidR="008A1C3E">
        <w:rPr>
          <w:rFonts w:cs="Arial"/>
          <w:szCs w:val="22"/>
        </w:rPr>
        <w:t xml:space="preserve"> e será a</w:t>
      </w:r>
      <w:r>
        <w:rPr>
          <w:rFonts w:cs="Arial"/>
          <w:szCs w:val="22"/>
        </w:rPr>
        <w:t>tuada uma sinalização de alarme.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Existe ainda sinalização de “grelha em marcha” e presença de tensão. A sinalização de alarme será ainda enviada para a sala de controlo da ETAR.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Pr="001572C1" w:rsidRDefault="009107E6" w:rsidP="009107E6">
      <w:pPr>
        <w:pStyle w:val="Cabealho1"/>
      </w:pPr>
      <w:proofErr w:type="spellStart"/>
      <w:r w:rsidRPr="001572C1">
        <w:t>Desarenador</w:t>
      </w:r>
      <w:proofErr w:type="spellEnd"/>
      <w:r w:rsidRPr="001572C1">
        <w:t>/Desengordurador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671312" w:rsidP="009107E6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67456" behindDoc="0" locked="0" layoutInCell="1" allowOverlap="1" wp14:anchorId="58E92C94" wp14:editId="04601FB5">
            <wp:simplePos x="0" y="0"/>
            <wp:positionH relativeFrom="column">
              <wp:posOffset>3957320</wp:posOffset>
            </wp:positionH>
            <wp:positionV relativeFrom="paragraph">
              <wp:posOffset>236855</wp:posOffset>
            </wp:positionV>
            <wp:extent cx="1918335" cy="1439545"/>
            <wp:effectExtent l="0" t="0" r="0" b="0"/>
            <wp:wrapSquare wrapText="bothSides"/>
            <wp:docPr id="5" name="Imagem 4" descr="DSC029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981.JPG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8335" cy="14395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07E6" w:rsidRPr="00B1660F">
        <w:rPr>
          <w:rFonts w:cs="Arial"/>
          <w:szCs w:val="22"/>
        </w:rPr>
        <w:t xml:space="preserve">O efluente </w:t>
      </w:r>
      <w:r w:rsidR="009107E6">
        <w:rPr>
          <w:rFonts w:cs="Arial"/>
          <w:szCs w:val="22"/>
        </w:rPr>
        <w:t>após a gradagem é submetido ao duplo tratamento de remoção de areias e óleos. Esta remoção é realizada num aparelho único de conceção “</w:t>
      </w:r>
      <w:proofErr w:type="spellStart"/>
      <w:r w:rsidR="009107E6">
        <w:rPr>
          <w:rFonts w:cs="Arial"/>
          <w:szCs w:val="22"/>
        </w:rPr>
        <w:t>Degrémont</w:t>
      </w:r>
      <w:proofErr w:type="spellEnd"/>
      <w:r w:rsidR="009107E6">
        <w:rPr>
          <w:rFonts w:cs="Arial"/>
          <w:szCs w:val="22"/>
        </w:rPr>
        <w:t>”. O aparelho está equipado com um arejador mecânico submersível do tipo “AEROFLOT” o qual tem como função arrastar as gorduras e óleos em direção à superfície.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Estes óleos e gorduras são retomados por raspagem superficial através de uma ponte raspadora de acionamento central e são descarregados numa Caixa de Gorduras.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A parte cónica inferior do aparelho </w:t>
      </w:r>
      <w:proofErr w:type="spellStart"/>
      <w:r>
        <w:rPr>
          <w:rFonts w:cs="Arial"/>
          <w:szCs w:val="22"/>
        </w:rPr>
        <w:t>desarenador</w:t>
      </w:r>
      <w:proofErr w:type="spellEnd"/>
      <w:r>
        <w:rPr>
          <w:rFonts w:cs="Arial"/>
          <w:szCs w:val="22"/>
        </w:rPr>
        <w:t xml:space="preserve"> forma uma tremonha inclinada que favorece o deslizamento das areias decantadas para a zona inferior. A areia armazenada nesta zona é</w:t>
      </w:r>
      <w:r w:rsidR="008A1C3E">
        <w:rPr>
          <w:rFonts w:cs="Arial"/>
          <w:szCs w:val="22"/>
        </w:rPr>
        <w:t xml:space="preserve"> extraída periodicamente e dire</w:t>
      </w:r>
      <w:r>
        <w:rPr>
          <w:rFonts w:cs="Arial"/>
          <w:szCs w:val="22"/>
        </w:rPr>
        <w:t>cionadas para a caixa de recolha (Caixa de Areias),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</w:p>
    <w:p w:rsidR="009107E6" w:rsidRPr="001572C1" w:rsidRDefault="009107E6" w:rsidP="009107E6">
      <w:pPr>
        <w:pStyle w:val="Cabealho1"/>
      </w:pPr>
      <w:r w:rsidRPr="001572C1">
        <w:t>Tanque de Equalização</w:t>
      </w:r>
    </w:p>
    <w:p w:rsidR="009107E6" w:rsidRDefault="009107E6" w:rsidP="009107E6">
      <w:pPr>
        <w:rPr>
          <w:rFonts w:cs="Arial"/>
          <w:b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 w:rsidRPr="003A7E83">
        <w:rPr>
          <w:rFonts w:cs="Arial"/>
          <w:szCs w:val="22"/>
        </w:rPr>
        <w:t xml:space="preserve">Para promover a mistura </w:t>
      </w:r>
      <w:r>
        <w:rPr>
          <w:rFonts w:cs="Arial"/>
          <w:szCs w:val="22"/>
        </w:rPr>
        <w:t>dos diversos efluentes, amortização de cargas e permitir a alimentação a caudal constante do tanque de arejamento, existe um tanque de equalização com capacidade para 24 horas de retenção do caudal diário de dimensionamento.</w:t>
      </w: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62336" behindDoc="1" locked="0" layoutInCell="1" allowOverlap="1" wp14:anchorId="550DFD4A" wp14:editId="14BAD049">
            <wp:simplePos x="0" y="0"/>
            <wp:positionH relativeFrom="column">
              <wp:posOffset>3957320</wp:posOffset>
            </wp:positionH>
            <wp:positionV relativeFrom="paragraph">
              <wp:posOffset>76200</wp:posOffset>
            </wp:positionV>
            <wp:extent cx="1918970" cy="1440180"/>
            <wp:effectExtent l="0" t="0" r="0" b="0"/>
            <wp:wrapTight wrapText="bothSides">
              <wp:wrapPolygon edited="0">
                <wp:start x="1287" y="0"/>
                <wp:lineTo x="0" y="1429"/>
                <wp:lineTo x="0" y="20000"/>
                <wp:lineTo x="1072" y="21429"/>
                <wp:lineTo x="20371" y="21429"/>
                <wp:lineTo x="21443" y="20000"/>
                <wp:lineTo x="21443" y="1143"/>
                <wp:lineTo x="20156" y="0"/>
                <wp:lineTo x="1287" y="0"/>
              </wp:wrapPolygon>
            </wp:wrapTight>
            <wp:docPr id="7" name="Imagem 6" descr="DSC029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980.JPG"/>
                    <pic:cNvPicPr/>
                  </pic:nvPicPr>
                  <pic:blipFill>
                    <a:blip r:embed="rId1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918970" cy="14401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Para manterá massa líquida em movimento, evitar a formação de depósitos no fundo, misturar os efluentes e favorecer o arejamento, existem dois grupos </w:t>
      </w:r>
      <w:proofErr w:type="spellStart"/>
      <w:r>
        <w:rPr>
          <w:rFonts w:cs="Arial"/>
          <w:szCs w:val="22"/>
        </w:rPr>
        <w:t>hidro-injector</w:t>
      </w:r>
      <w:proofErr w:type="spellEnd"/>
      <w:r>
        <w:rPr>
          <w:rFonts w:cs="Arial"/>
          <w:szCs w:val="22"/>
        </w:rPr>
        <w:t xml:space="preserve"> submersíveis que funcionam de forma temporizada.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Em automático, o conjunto de bombas e electroagitadores serão comandados através de 3 interruptores de nível, nomeadamente:</w:t>
      </w:r>
    </w:p>
    <w:p w:rsidR="009107E6" w:rsidRDefault="009107E6" w:rsidP="009107E6">
      <w:pPr>
        <w:rPr>
          <w:rFonts w:cs="Arial"/>
          <w:szCs w:val="22"/>
        </w:rPr>
      </w:pPr>
    </w:p>
    <w:p w:rsidR="009107E6" w:rsidRPr="00610EB4" w:rsidRDefault="009107E6" w:rsidP="009107E6">
      <w:pPr>
        <w:pStyle w:val="PargrafodaLista"/>
        <w:numPr>
          <w:ilvl w:val="0"/>
          <w:numId w:val="11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Nível muito baixo </w:t>
      </w:r>
      <w:proofErr w:type="spellStart"/>
      <w:r>
        <w:rPr>
          <w:rFonts w:cs="Arial"/>
          <w:szCs w:val="22"/>
        </w:rPr>
        <w:t>pára</w:t>
      </w:r>
      <w:proofErr w:type="spellEnd"/>
      <w:r>
        <w:rPr>
          <w:rFonts w:cs="Arial"/>
          <w:szCs w:val="22"/>
        </w:rPr>
        <w:t xml:space="preserve"> os grupos </w:t>
      </w:r>
      <w:proofErr w:type="spellStart"/>
      <w:r>
        <w:rPr>
          <w:rFonts w:cs="Arial"/>
          <w:szCs w:val="22"/>
        </w:rPr>
        <w:t>hidro-injectores</w:t>
      </w:r>
      <w:proofErr w:type="spellEnd"/>
      <w:r>
        <w:rPr>
          <w:rFonts w:cs="Arial"/>
          <w:szCs w:val="22"/>
        </w:rPr>
        <w:t xml:space="preserve"> submersíveis. Estes só arrancam 60 segundos depois de o nível baixo desaparecer;</w:t>
      </w:r>
    </w:p>
    <w:p w:rsidR="009107E6" w:rsidRDefault="009107E6" w:rsidP="009107E6">
      <w:pPr>
        <w:pStyle w:val="PargrafodaLista"/>
        <w:numPr>
          <w:ilvl w:val="0"/>
          <w:numId w:val="11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Nível baixo </w:t>
      </w:r>
      <w:proofErr w:type="spellStart"/>
      <w:r>
        <w:rPr>
          <w:rFonts w:cs="Arial"/>
          <w:szCs w:val="22"/>
        </w:rPr>
        <w:t>pára</w:t>
      </w:r>
      <w:proofErr w:type="spellEnd"/>
      <w:r>
        <w:rPr>
          <w:rFonts w:cs="Arial"/>
          <w:szCs w:val="22"/>
        </w:rPr>
        <w:t xml:space="preserve"> a bomba que está em serviço;</w:t>
      </w:r>
    </w:p>
    <w:p w:rsidR="009107E6" w:rsidRDefault="009107E6" w:rsidP="009107E6">
      <w:pPr>
        <w:pStyle w:val="PargrafodaLista"/>
        <w:numPr>
          <w:ilvl w:val="0"/>
          <w:numId w:val="11"/>
        </w:numPr>
        <w:rPr>
          <w:rFonts w:cs="Arial"/>
          <w:szCs w:val="22"/>
        </w:rPr>
      </w:pPr>
      <w:r>
        <w:rPr>
          <w:rFonts w:cs="Arial"/>
          <w:szCs w:val="22"/>
        </w:rPr>
        <w:t>Nível alto arranca uma bomba submersível, só parando quando se atingir de novo o nível baixo.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Pr="003B718B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Estes três patamares só serão considerados válidos quando se mantiverem atuados mais do que 10 segundos seguidos.</w:t>
      </w:r>
    </w:p>
    <w:p w:rsidR="009107E6" w:rsidRPr="00915882" w:rsidRDefault="009107E6" w:rsidP="009107E6">
      <w:pPr>
        <w:rPr>
          <w:rFonts w:cs="Arial"/>
          <w:szCs w:val="22"/>
        </w:rPr>
      </w:pPr>
    </w:p>
    <w:p w:rsidR="009107E6" w:rsidRPr="001572C1" w:rsidRDefault="009107E6" w:rsidP="009107E6">
      <w:pPr>
        <w:pStyle w:val="Cabealho1"/>
      </w:pPr>
      <w:r w:rsidRPr="001572C1">
        <w:t>Tanque de Arejamento</w:t>
      </w:r>
    </w:p>
    <w:p w:rsidR="009107E6" w:rsidRPr="00D42A83" w:rsidRDefault="009107E6" w:rsidP="009107E6">
      <w:pPr>
        <w:rPr>
          <w:rFonts w:cs="Arial"/>
          <w:b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 w:rsidRPr="005434FD">
        <w:rPr>
          <w:rFonts w:cs="Arial"/>
          <w:szCs w:val="22"/>
        </w:rPr>
        <w:t>Nesta unidade de</w:t>
      </w:r>
      <w:r>
        <w:rPr>
          <w:rFonts w:cs="Arial"/>
          <w:szCs w:val="22"/>
        </w:rPr>
        <w:t xml:space="preserve"> tratamento ocorrem algumas das mais importantes reações de oxidação biológica da matéria orgânica poluente (CBO e CQO). Associado ao seu princípio de funcionamento está o desenvolvimento de uma cultura de </w:t>
      </w:r>
      <w:proofErr w:type="spellStart"/>
      <w:r>
        <w:rPr>
          <w:rFonts w:cs="Arial"/>
          <w:szCs w:val="22"/>
        </w:rPr>
        <w:t>microorganismos</w:t>
      </w:r>
      <w:proofErr w:type="spellEnd"/>
      <w:r>
        <w:rPr>
          <w:rFonts w:cs="Arial"/>
          <w:szCs w:val="22"/>
        </w:rPr>
        <w:t xml:space="preserve"> aeróbios e facultativos, capaz de </w:t>
      </w:r>
      <w:proofErr w:type="spellStart"/>
      <w:r>
        <w:rPr>
          <w:rFonts w:cs="Arial"/>
          <w:szCs w:val="22"/>
        </w:rPr>
        <w:t>biodegradar</w:t>
      </w:r>
      <w:proofErr w:type="spellEnd"/>
      <w:r>
        <w:rPr>
          <w:rFonts w:cs="Arial"/>
          <w:szCs w:val="22"/>
        </w:rPr>
        <w:t xml:space="preserve"> os compostos orgânicos.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63360" behindDoc="1" locked="0" layoutInCell="1" allowOverlap="1" wp14:anchorId="7AEB28EE" wp14:editId="2A8E2CAC">
            <wp:simplePos x="0" y="0"/>
            <wp:positionH relativeFrom="column">
              <wp:posOffset>-109855</wp:posOffset>
            </wp:positionH>
            <wp:positionV relativeFrom="paragraph">
              <wp:posOffset>630555</wp:posOffset>
            </wp:positionV>
            <wp:extent cx="1918970" cy="1440180"/>
            <wp:effectExtent l="38100" t="38100" r="24130" b="26670"/>
            <wp:wrapTight wrapText="bothSides">
              <wp:wrapPolygon edited="0">
                <wp:start x="1715" y="-571"/>
                <wp:lineTo x="-429" y="0"/>
                <wp:lineTo x="-429" y="20286"/>
                <wp:lineTo x="1930" y="22000"/>
                <wp:lineTo x="20156" y="22000"/>
                <wp:lineTo x="20371" y="21714"/>
                <wp:lineTo x="21872" y="18571"/>
                <wp:lineTo x="21872" y="3429"/>
                <wp:lineTo x="20585" y="286"/>
                <wp:lineTo x="19942" y="-571"/>
                <wp:lineTo x="1715" y="-571"/>
              </wp:wrapPolygon>
            </wp:wrapTight>
            <wp:docPr id="11" name="Imagem 10" descr="DSC029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978.JPG"/>
                    <pic:cNvPicPr/>
                  </pic:nvPicPr>
                  <pic:blipFill>
                    <a:blip r:embed="rId13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918970" cy="14401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/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cs="Arial"/>
          <w:szCs w:val="22"/>
        </w:rPr>
        <w:t xml:space="preserve">O desenvolvimento da cultura de </w:t>
      </w:r>
      <w:proofErr w:type="spellStart"/>
      <w:r>
        <w:rPr>
          <w:rFonts w:cs="Arial"/>
          <w:szCs w:val="22"/>
        </w:rPr>
        <w:t>microorganismos</w:t>
      </w:r>
      <w:proofErr w:type="spellEnd"/>
      <w:r>
        <w:rPr>
          <w:rFonts w:cs="Arial"/>
          <w:szCs w:val="22"/>
        </w:rPr>
        <w:t xml:space="preserve"> sob a forma de flocos processa-se no tanque com agitação e arejamento permanente, alimentada continuamente pelo efluente. A agitação tem como finalidade evitar a formação de depósitos no fundo e nas paredes do tanque, homogeneizando igualmente a mistura de flocos bacterianos com o afluente chegado.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Pr="005434FD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O arejamento tem como finalidade dissolver o oxigénio do ardo afluente chegado, no sentido de responder às necessidades depuradoras aeróbias. A necessidade de oxigénio é assegurada por um conjunto de 4 turbinas que funcionam de forma temporizada. </w:t>
      </w: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Para controlar as necessidades de oxigénio, o tanque encontra-se equipado com 2 aparelhos de medição de oxigénio dissolvido, cada um instalado numa zona diferente. Cada sonda de oxigénio está equipada com um sistema de limpeza automático com água da rede.</w:t>
      </w:r>
    </w:p>
    <w:p w:rsidR="009107E6" w:rsidRDefault="009107E6" w:rsidP="009107E6">
      <w:pPr>
        <w:rPr>
          <w:rFonts w:cs="Arial"/>
          <w:szCs w:val="22"/>
        </w:rPr>
      </w:pPr>
    </w:p>
    <w:p w:rsidR="008A1C3E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Os valores registados por estes medidores, para além de terem indicação local, têm ainda saídas de 4 a 20 </w:t>
      </w:r>
      <w:proofErr w:type="spellStart"/>
      <w:r>
        <w:rPr>
          <w:rFonts w:cs="Arial"/>
          <w:szCs w:val="22"/>
        </w:rPr>
        <w:t>mA</w:t>
      </w:r>
      <w:proofErr w:type="spellEnd"/>
      <w:r>
        <w:rPr>
          <w:rFonts w:cs="Arial"/>
          <w:szCs w:val="22"/>
        </w:rPr>
        <w:t xml:space="preserve"> para um registador instalado no quadro elétrico geral. </w:t>
      </w: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>Dependendo dos valores indicados pelos medidores de oxigénio, o operador deverá regular as temporizações de funcionamento das turbinas de maneira a garantir um teor de oxigénio dissolvido mínimo de 1 mg/l em todas as zonas do tanque de arejamento.</w:t>
      </w:r>
    </w:p>
    <w:p w:rsidR="008A1C3E" w:rsidRDefault="008A1C3E" w:rsidP="009107E6">
      <w:pPr>
        <w:rPr>
          <w:rFonts w:cs="Arial"/>
          <w:szCs w:val="22"/>
        </w:rPr>
      </w:pPr>
    </w:p>
    <w:p w:rsidR="009107E6" w:rsidRPr="001572C1" w:rsidRDefault="009107E6" w:rsidP="009107E6">
      <w:pPr>
        <w:pStyle w:val="Cabealho1"/>
      </w:pPr>
      <w:proofErr w:type="spellStart"/>
      <w:r w:rsidRPr="001572C1">
        <w:t>Desgasificação</w:t>
      </w:r>
      <w:proofErr w:type="spellEnd"/>
      <w:r w:rsidR="008A1C3E">
        <w:t>/Extra</w:t>
      </w:r>
      <w:r w:rsidRPr="001572C1">
        <w:t>ção de Lamas em Excesso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O efluente misto ao sair dos tanques de arejamento contém bolhas de ar presas aos flocos biológicos, o que é nefasto para a decantação destas lamas. Assim o efluente misto é introduzido numa câmara, dimensionada para assegurar uma desgaseificação natural sem necessidade de agitação complementar. Esta câmara não comporta qualquer aparelho mecânico.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Para extrair lamas em excesso do tanque de arejamento existem duas bombas submersíveis montadas na câmara de desgaseificação. A e</w:t>
      </w:r>
      <w:r w:rsidR="008A1C3E">
        <w:rPr>
          <w:rFonts w:cs="Arial"/>
          <w:szCs w:val="22"/>
        </w:rPr>
        <w:t>xtra</w:t>
      </w:r>
      <w:r>
        <w:rPr>
          <w:rFonts w:cs="Arial"/>
          <w:szCs w:val="22"/>
        </w:rPr>
        <w:t>ção de lamas neste ponto destina-se a evitar as flutuações de concentração das lamas que se verificariam caso as lamas fossem extraídas do Decantador.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Em automático, arranca uma das bombas sempre que se der inicio a um ciclo de desidratação de lamas. No caso da bomba em serviço avariar, deverá arrancar a bomba de reserva.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Pr="001572C1" w:rsidRDefault="009107E6" w:rsidP="009107E6">
      <w:pPr>
        <w:pStyle w:val="Cabealho1"/>
      </w:pPr>
      <w:r w:rsidRPr="001572C1">
        <w:t>Decantação Secundária</w:t>
      </w:r>
    </w:p>
    <w:p w:rsidR="009107E6" w:rsidRDefault="009107E6" w:rsidP="009107E6">
      <w:pPr>
        <w:rPr>
          <w:rFonts w:cs="Arial"/>
          <w:b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 w:rsidRPr="00AF2B13">
        <w:rPr>
          <w:rFonts w:cs="Arial"/>
          <w:szCs w:val="22"/>
        </w:rPr>
        <w:t xml:space="preserve">O efluente proveniente </w:t>
      </w:r>
      <w:r>
        <w:rPr>
          <w:rFonts w:cs="Arial"/>
          <w:szCs w:val="22"/>
        </w:rPr>
        <w:t>do arejamento dá entrada num Decantador Secundário, do tipo tronco cónico, de fluxo vertical, equipado com ponte raspadora de acionamento periférico com lâminas raspadoras de fundo e de superfície.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64384" behindDoc="1" locked="0" layoutInCell="1" allowOverlap="1" wp14:anchorId="17AA0DDA" wp14:editId="71E23078">
            <wp:simplePos x="0" y="0"/>
            <wp:positionH relativeFrom="column">
              <wp:posOffset>3843020</wp:posOffset>
            </wp:positionH>
            <wp:positionV relativeFrom="paragraph">
              <wp:posOffset>277495</wp:posOffset>
            </wp:positionV>
            <wp:extent cx="1918970" cy="1440180"/>
            <wp:effectExtent l="0" t="0" r="0" b="0"/>
            <wp:wrapTight wrapText="bothSides">
              <wp:wrapPolygon edited="0">
                <wp:start x="1287" y="0"/>
                <wp:lineTo x="0" y="1429"/>
                <wp:lineTo x="0" y="20000"/>
                <wp:lineTo x="1072" y="21429"/>
                <wp:lineTo x="20371" y="21429"/>
                <wp:lineTo x="21443" y="20000"/>
                <wp:lineTo x="21443" y="1143"/>
                <wp:lineTo x="20156" y="0"/>
                <wp:lineTo x="1287" y="0"/>
              </wp:wrapPolygon>
            </wp:wrapTight>
            <wp:docPr id="13" name="Imagem 12" descr="DSC029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984.JPG"/>
                    <pic:cNvPicPr/>
                  </pic:nvPicPr>
                  <pic:blipFill>
                    <a:blip r:embed="rId14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918970" cy="14401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cs="Arial"/>
          <w:szCs w:val="22"/>
        </w:rPr>
        <w:t xml:space="preserve">O efluente tratado é recolhido por transbordo sobre descarregador periférico e enviado </w:t>
      </w:r>
      <w:r w:rsidR="00744C99">
        <w:rPr>
          <w:rFonts w:cs="Arial"/>
          <w:szCs w:val="22"/>
        </w:rPr>
        <w:t>a DAF</w:t>
      </w:r>
      <w:r>
        <w:rPr>
          <w:rFonts w:cs="Arial"/>
          <w:szCs w:val="22"/>
        </w:rPr>
        <w:t xml:space="preserve">. 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As espumas formadas à superfície do decantador são retomadas por raspagem superficial e evacuadas para o poço de “Bombagem de Sobrenadantes”. Daqui são elevadas para a “obra de Entrada” através de uma bomba submersível.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As Lamas depositadas no fundo do decantador são descarregadas em contínuo e por pressão hidrostática para um poço de “Recirculação de Lamas”, e daqui são reenviadas para o tanque de arejamento. 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Esta recirculação destina-se não só a manter a oxigenação como também assegura uma determinada concentração em </w:t>
      </w:r>
      <w:proofErr w:type="spellStart"/>
      <w:r>
        <w:rPr>
          <w:rFonts w:cs="Arial"/>
          <w:szCs w:val="22"/>
        </w:rPr>
        <w:t>microorganismos</w:t>
      </w:r>
      <w:proofErr w:type="spellEnd"/>
      <w:r>
        <w:rPr>
          <w:rFonts w:cs="Arial"/>
          <w:szCs w:val="22"/>
        </w:rPr>
        <w:t xml:space="preserve"> no tanque de arejamento.</w:t>
      </w:r>
    </w:p>
    <w:p w:rsidR="009107E6" w:rsidRDefault="009107E6" w:rsidP="009107E6">
      <w:pPr>
        <w:rPr>
          <w:rFonts w:cs="Arial"/>
          <w:szCs w:val="22"/>
        </w:rPr>
      </w:pPr>
    </w:p>
    <w:p w:rsidR="008A1C3E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O decantador está equipado com uma bomba de recirculação interna instalada na ponte raspadora, tendo como funçã</w:t>
      </w:r>
      <w:r w:rsidR="008A1C3E">
        <w:rPr>
          <w:rFonts w:cs="Arial"/>
          <w:szCs w:val="22"/>
        </w:rPr>
        <w:t>o bombar lamas do fundo em dire</w:t>
      </w:r>
      <w:r>
        <w:rPr>
          <w:rFonts w:cs="Arial"/>
          <w:szCs w:val="22"/>
        </w:rPr>
        <w:t>ção ao centro do decantador, evitando-se desta forma a estadia demorada no fundo do decantador das lamas decantadas, cuja capacidade de fermentar é elevada, o que poderia originar libertações gasosas, que para além do seu mau cheiro, iriam perturbar a própria decantação.</w:t>
      </w:r>
    </w:p>
    <w:p w:rsidR="00744C99" w:rsidRDefault="00744C99" w:rsidP="009107E6">
      <w:pPr>
        <w:rPr>
          <w:rFonts w:cs="Arial"/>
          <w:szCs w:val="22"/>
        </w:rPr>
      </w:pPr>
    </w:p>
    <w:p w:rsidR="00744C99" w:rsidRDefault="00744C99" w:rsidP="009107E6">
      <w:pPr>
        <w:rPr>
          <w:rFonts w:cs="Arial"/>
          <w:szCs w:val="22"/>
        </w:rPr>
      </w:pPr>
    </w:p>
    <w:p w:rsidR="00744C99" w:rsidRDefault="00744C99" w:rsidP="009107E6">
      <w:pPr>
        <w:rPr>
          <w:rFonts w:cs="Arial"/>
          <w:szCs w:val="22"/>
        </w:rPr>
      </w:pPr>
    </w:p>
    <w:p w:rsidR="00744C99" w:rsidRDefault="00744C99" w:rsidP="009107E6">
      <w:pPr>
        <w:rPr>
          <w:rFonts w:cs="Arial"/>
          <w:szCs w:val="22"/>
        </w:rPr>
      </w:pPr>
    </w:p>
    <w:p w:rsidR="008A1C3E" w:rsidRDefault="008A1C3E" w:rsidP="009107E6">
      <w:pPr>
        <w:rPr>
          <w:rFonts w:cs="Arial"/>
          <w:szCs w:val="22"/>
        </w:rPr>
      </w:pPr>
    </w:p>
    <w:p w:rsidR="008A1C3E" w:rsidRDefault="008A1C3E" w:rsidP="009107E6">
      <w:pPr>
        <w:rPr>
          <w:rFonts w:cs="Arial"/>
          <w:szCs w:val="22"/>
        </w:rPr>
      </w:pPr>
    </w:p>
    <w:p w:rsidR="009107E6" w:rsidRDefault="009107E6" w:rsidP="009107E6">
      <w:pPr>
        <w:pStyle w:val="Cabealho1"/>
      </w:pPr>
      <w:r>
        <w:lastRenderedPageBreak/>
        <w:t>Desidratação de Lamas</w:t>
      </w:r>
    </w:p>
    <w:p w:rsidR="009107E6" w:rsidRPr="00AF2B13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pStyle w:val="Cabealho2"/>
      </w:pPr>
      <w:r>
        <w:t>Grelha de Espessamento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As lamas em excesso provenientes do tanque de arejamento são espessadas numa grelha GDD 1500vantes de darem entrada na etapa de desidratação. Estas lamas são introduzidas na grelha GDD num </w:t>
      </w:r>
      <w:proofErr w:type="spellStart"/>
      <w:r>
        <w:rPr>
          <w:rFonts w:cs="Arial"/>
          <w:szCs w:val="22"/>
        </w:rPr>
        <w:t>floculador</w:t>
      </w:r>
      <w:proofErr w:type="spellEnd"/>
      <w:r>
        <w:rPr>
          <w:rFonts w:cs="Arial"/>
          <w:szCs w:val="22"/>
        </w:rPr>
        <w:t xml:space="preserve"> equipado com um agitador onde são misturadas com um </w:t>
      </w:r>
      <w:proofErr w:type="spellStart"/>
      <w:r>
        <w:rPr>
          <w:rFonts w:cs="Arial"/>
          <w:szCs w:val="22"/>
        </w:rPr>
        <w:t>polielectrólito</w:t>
      </w:r>
      <w:proofErr w:type="spellEnd"/>
      <w:r>
        <w:rPr>
          <w:rFonts w:cs="Arial"/>
          <w:szCs w:val="22"/>
        </w:rPr>
        <w:t xml:space="preserve">. </w:t>
      </w: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Daí as lamas já floculadas passam para um tanque de repartição de onde transbordam para uma grelha de escorrimento, onde uma série de raspadores fixos asseguram a progressão das lamas a desidratar em direção à saída da grelha.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A água intersticial é escoada através da grelha e a separação das lamas e da água é favorecida pela constituição de rolos de lama que rodam sobre si.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As lamas são finalmente evacuadas através de uma tubagem em direção a um filtro prensa.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pStyle w:val="Cabealho2"/>
      </w:pPr>
      <w:proofErr w:type="spellStart"/>
      <w:r>
        <w:t>Polieletrólito</w:t>
      </w:r>
      <w:proofErr w:type="spellEnd"/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Para melhorar a drenagem das lamas é injetado um </w:t>
      </w:r>
      <w:proofErr w:type="spellStart"/>
      <w:r>
        <w:rPr>
          <w:rFonts w:cs="Arial"/>
          <w:szCs w:val="22"/>
        </w:rPr>
        <w:t>polieletrólito</w:t>
      </w:r>
      <w:proofErr w:type="spellEnd"/>
      <w:r>
        <w:rPr>
          <w:rFonts w:cs="Arial"/>
          <w:szCs w:val="22"/>
        </w:rPr>
        <w:t xml:space="preserve"> no </w:t>
      </w:r>
      <w:proofErr w:type="spellStart"/>
      <w:r>
        <w:rPr>
          <w:rFonts w:cs="Arial"/>
          <w:szCs w:val="22"/>
        </w:rPr>
        <w:t>floculador</w:t>
      </w:r>
      <w:proofErr w:type="spellEnd"/>
      <w:r>
        <w:rPr>
          <w:rFonts w:cs="Arial"/>
          <w:szCs w:val="22"/>
        </w:rPr>
        <w:t xml:space="preserve"> através de uma de duas bombas doseadoras sendo uma de reserva mecânica da outra. Em automático, se uma bomba avaria, entra imediatamente a bomba de reserva em funcionamento.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pStyle w:val="Cabealho2"/>
      </w:pPr>
      <w:r>
        <w:t>Filtro de Banda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O sistema de desidratação mecânica é constituído por um filtro de banda, composto por um conjunto de telas de largura 1,5 metros.</w:t>
      </w: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65408" behindDoc="1" locked="0" layoutInCell="1" allowOverlap="1" wp14:anchorId="6E5ADFE5" wp14:editId="2F4C4F9A">
            <wp:simplePos x="0" y="0"/>
            <wp:positionH relativeFrom="column">
              <wp:posOffset>4538345</wp:posOffset>
            </wp:positionH>
            <wp:positionV relativeFrom="paragraph">
              <wp:posOffset>8255</wp:posOffset>
            </wp:positionV>
            <wp:extent cx="1351280" cy="1799590"/>
            <wp:effectExtent l="0" t="0" r="0" b="0"/>
            <wp:wrapTight wrapText="bothSides">
              <wp:wrapPolygon edited="0">
                <wp:start x="1523" y="0"/>
                <wp:lineTo x="0" y="1143"/>
                <wp:lineTo x="0" y="20121"/>
                <wp:lineTo x="1523" y="21265"/>
                <wp:lineTo x="19793" y="21265"/>
                <wp:lineTo x="21316" y="20579"/>
                <wp:lineTo x="21316" y="1143"/>
                <wp:lineTo x="19793" y="0"/>
                <wp:lineTo x="1523" y="0"/>
              </wp:wrapPolygon>
            </wp:wrapTight>
            <wp:docPr id="14" name="Imagem 13" descr="DSC02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986.JPG"/>
                    <pic:cNvPicPr/>
                  </pic:nvPicPr>
                  <pic:blipFill>
                    <a:blip r:embed="rId1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179959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Neste filtro as lamas já espessadas vão desaguar sobre uma tela numa zona de descarga. Nesta primeira parte do percurso, o declive da tela vai permitir à lama espalhar-se sobre toda a largura da tela. A seguir a lama é gradada através de dois pentes em linha e é repartida num manto regular e homogéneo sobre toda a largura da tela através de um rolo de equalização.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Após este rolo de equalização as lamas vão passar entre duas telas e vão ser sujeitas a uma pressão progressiva de filtração através da passagem à volta de um tambor perfurado de grande diâmetro (tambor de drenagem).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As duas telas vão passar de seguida sobre uma série de rolos de prensagem com diâmetros decrescentes com o objetivo de aumentar progressivamente a pressão sobre a camada de lamas.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À saída, as duas telas vão-se separar após passarem o rolo de acionamento e o bolo de lamas é descarregado sobre a tremonha de receção da bomba de parafuso que mistura as lamas com a cal.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Os filtrados e as águas de lavagem são </w:t>
      </w:r>
      <w:r w:rsidR="008A1C3E">
        <w:rPr>
          <w:rFonts w:cs="Arial"/>
          <w:szCs w:val="22"/>
        </w:rPr>
        <w:t xml:space="preserve">enviados </w:t>
      </w:r>
      <w:proofErr w:type="spellStart"/>
      <w:r w:rsidR="008A1C3E">
        <w:rPr>
          <w:rFonts w:cs="Arial"/>
          <w:szCs w:val="22"/>
        </w:rPr>
        <w:t>graviticamente</w:t>
      </w:r>
      <w:proofErr w:type="spellEnd"/>
      <w:r w:rsidR="008A1C3E">
        <w:rPr>
          <w:rFonts w:cs="Arial"/>
          <w:szCs w:val="22"/>
        </w:rPr>
        <w:t xml:space="preserve"> em dire</w:t>
      </w:r>
      <w:r>
        <w:rPr>
          <w:rFonts w:cs="Arial"/>
          <w:szCs w:val="22"/>
        </w:rPr>
        <w:t>ção ao poço de “bombagem de Escorrências”.</w:t>
      </w:r>
    </w:p>
    <w:p w:rsidR="009107E6" w:rsidRDefault="009107E6" w:rsidP="009107E6">
      <w:pPr>
        <w:rPr>
          <w:rFonts w:cs="Arial"/>
          <w:szCs w:val="22"/>
        </w:rPr>
      </w:pPr>
    </w:p>
    <w:p w:rsidR="008A1C3E" w:rsidRDefault="008A1C3E" w:rsidP="009107E6">
      <w:pPr>
        <w:rPr>
          <w:rFonts w:cs="Arial"/>
          <w:szCs w:val="22"/>
        </w:rPr>
      </w:pPr>
    </w:p>
    <w:p w:rsidR="008A1C3E" w:rsidRDefault="008A1C3E" w:rsidP="009107E6">
      <w:pPr>
        <w:rPr>
          <w:rFonts w:cs="Arial"/>
          <w:szCs w:val="22"/>
        </w:rPr>
      </w:pPr>
    </w:p>
    <w:p w:rsidR="008A1C3E" w:rsidRDefault="008A1C3E" w:rsidP="009107E6">
      <w:pPr>
        <w:rPr>
          <w:rFonts w:cs="Arial"/>
          <w:szCs w:val="22"/>
        </w:rPr>
      </w:pPr>
    </w:p>
    <w:p w:rsidR="009107E6" w:rsidRDefault="009107E6" w:rsidP="009107E6">
      <w:pPr>
        <w:pStyle w:val="Cabealho2"/>
      </w:pPr>
      <w:r>
        <w:lastRenderedPageBreak/>
        <w:t>Estabilização química das lamas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Esta operação tem como objetivo estabilizar quimicamente as lamas desidratadas provenientes da prensa, através do doseamento de cal viva.</w:t>
      </w:r>
    </w:p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>A adição de cal irá provocar não só um aumento no pH das lamas (evitando-se assim a produção de maus cheiros), como também permitir aumentar o teor de cálcio das lamas, o que as torna de grande valor para a sua utilização na agricultura, devido ao seu elevado teor em matéria orgânica e ao fator corretivo que vai introduzir nos solos onde são aplicadas.</w:t>
      </w:r>
    </w:p>
    <w:p w:rsidR="00744C99" w:rsidRDefault="00744C99" w:rsidP="009107E6">
      <w:pPr>
        <w:rPr>
          <w:rFonts w:cs="Arial"/>
          <w:szCs w:val="22"/>
        </w:rPr>
      </w:pPr>
    </w:p>
    <w:p w:rsidR="00744C99" w:rsidRDefault="00744C99" w:rsidP="009107E6">
      <w:pPr>
        <w:rPr>
          <w:rFonts w:cs="Arial"/>
          <w:szCs w:val="22"/>
        </w:rPr>
      </w:pPr>
    </w:p>
    <w:p w:rsidR="00744C99" w:rsidRDefault="00744C99" w:rsidP="00744C99">
      <w:pPr>
        <w:pStyle w:val="Cabealho1"/>
      </w:pPr>
      <w:r>
        <w:t>DAF – Flotação por ar dissolvido</w:t>
      </w:r>
    </w:p>
    <w:p w:rsidR="00744C99" w:rsidRDefault="00744C99" w:rsidP="00744C99"/>
    <w:p w:rsidR="00744C99" w:rsidRPr="00744C99" w:rsidRDefault="00744C99" w:rsidP="00744C99">
      <w:pPr>
        <w:rPr>
          <w:rFonts w:cs="Arial"/>
          <w:szCs w:val="18"/>
        </w:rPr>
      </w:pPr>
      <w:r w:rsidRPr="00744C99">
        <w:rPr>
          <w:rFonts w:cs="Arial"/>
          <w:szCs w:val="18"/>
        </w:rPr>
        <w:t>Este equipamento tem como principio o adensamento por flotação.</w:t>
      </w:r>
    </w:p>
    <w:p w:rsidR="00744C99" w:rsidRPr="00744C99" w:rsidRDefault="00744C99" w:rsidP="00744C99">
      <w:pPr>
        <w:rPr>
          <w:rFonts w:cs="Arial"/>
          <w:szCs w:val="18"/>
        </w:rPr>
      </w:pPr>
      <w:r w:rsidRPr="00744C99">
        <w:rPr>
          <w:rFonts w:cs="Arial"/>
          <w:szCs w:val="18"/>
        </w:rPr>
        <w:t>É uma técnica de separação de misturas que consiste na introdução de bolhas de ar a uma suspensão de partículas.</w:t>
      </w:r>
      <w:r>
        <w:rPr>
          <w:rFonts w:cs="Arial"/>
          <w:szCs w:val="18"/>
        </w:rPr>
        <w:t xml:space="preserve"> </w:t>
      </w:r>
      <w:r w:rsidRPr="00744C99">
        <w:rPr>
          <w:rFonts w:cs="Arial"/>
          <w:szCs w:val="18"/>
        </w:rPr>
        <w:t>Com isso verifica-se que as partículas aderem às bolhas, formando uma espuma que pode ser removida.</w:t>
      </w:r>
    </w:p>
    <w:p w:rsidR="00744C99" w:rsidRPr="00744C99" w:rsidRDefault="00744C99" w:rsidP="00744C99">
      <w:pPr>
        <w:rPr>
          <w:rFonts w:cs="Arial"/>
          <w:szCs w:val="18"/>
        </w:rPr>
      </w:pPr>
      <w:r w:rsidRPr="00744C99">
        <w:rPr>
          <w:rFonts w:cs="Arial"/>
          <w:szCs w:val="18"/>
        </w:rPr>
        <w:t>Com a implementação deste equipam</w:t>
      </w:r>
      <w:r>
        <w:rPr>
          <w:rFonts w:cs="Arial"/>
          <w:szCs w:val="18"/>
        </w:rPr>
        <w:t>ento pod</w:t>
      </w:r>
      <w:r w:rsidRPr="00744C99">
        <w:rPr>
          <w:rFonts w:cs="Arial"/>
          <w:szCs w:val="18"/>
        </w:rPr>
        <w:t xml:space="preserve">emos garantir uma água tratada de qualidade considerável que nos permite desidratar mais lamas durante maior n.º de horas, diminuindo consideravelmente a carga do efluente. </w:t>
      </w:r>
    </w:p>
    <w:p w:rsidR="00744C99" w:rsidRPr="00744C99" w:rsidRDefault="00744C99" w:rsidP="00744C99">
      <w:pPr>
        <w:rPr>
          <w:rFonts w:cs="Arial"/>
          <w:szCs w:val="18"/>
        </w:rPr>
      </w:pPr>
      <w:r>
        <w:rPr>
          <w:rFonts w:cs="Arial"/>
          <w:szCs w:val="18"/>
        </w:rPr>
        <w:t xml:space="preserve">O equipamento foi montado </w:t>
      </w:r>
      <w:r w:rsidRPr="00744C99">
        <w:rPr>
          <w:rFonts w:cs="Arial"/>
          <w:szCs w:val="18"/>
        </w:rPr>
        <w:t xml:space="preserve">antes da saída do canal </w:t>
      </w:r>
      <w:proofErr w:type="spellStart"/>
      <w:r w:rsidRPr="00744C99">
        <w:rPr>
          <w:rFonts w:cs="Arial"/>
          <w:szCs w:val="18"/>
        </w:rPr>
        <w:t>Parshall</w:t>
      </w:r>
      <w:proofErr w:type="spellEnd"/>
      <w:r w:rsidRPr="00744C99">
        <w:rPr>
          <w:rFonts w:cs="Arial"/>
          <w:szCs w:val="18"/>
        </w:rPr>
        <w:t>, reforçando a extração de partículas sólidas mais finas e reutilizando essa mesma água para o equipamento GDD (responsá</w:t>
      </w:r>
      <w:r>
        <w:rPr>
          <w:rFonts w:cs="Arial"/>
          <w:szCs w:val="18"/>
        </w:rPr>
        <w:t>vel pela desidratação de lamas), sendo o excedente descarregado no canal após tratamento.</w:t>
      </w:r>
    </w:p>
    <w:p w:rsidR="00744C99" w:rsidRDefault="00744C99" w:rsidP="00744C99">
      <w:pPr>
        <w:spacing w:line="360" w:lineRule="auto"/>
        <w:jc w:val="center"/>
        <w:rPr>
          <w:rFonts w:ascii="Arial" w:hAnsi="Arial" w:cs="Arial"/>
        </w:rPr>
      </w:pPr>
      <w:r w:rsidRPr="001C6E91">
        <w:rPr>
          <w:noProof/>
        </w:rPr>
        <w:drawing>
          <wp:inline distT="0" distB="0" distL="0" distR="0" wp14:anchorId="47722166" wp14:editId="00782717">
            <wp:extent cx="1771540" cy="1328655"/>
            <wp:effectExtent l="0" t="0" r="635" b="5080"/>
            <wp:docPr id="89" name="Image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811118\OneDrive - PGA\Desktop\Fotos Instalações\IMG_453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540" cy="132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  <w:r w:rsidRPr="001C6E91">
        <w:rPr>
          <w:noProof/>
        </w:rPr>
        <w:drawing>
          <wp:inline distT="0" distB="0" distL="0" distR="0" wp14:anchorId="1C805973" wp14:editId="02F45E2F">
            <wp:extent cx="1771540" cy="1328655"/>
            <wp:effectExtent l="0" t="0" r="635" b="5080"/>
            <wp:docPr id="88" name="Image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811118\OneDrive - PGA\Desktop\Fotos Instalações\IMG_453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540" cy="132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C99" w:rsidRDefault="00744C99" w:rsidP="00744C99">
      <w:pPr>
        <w:spacing w:line="360" w:lineRule="auto"/>
        <w:jc w:val="center"/>
        <w:rPr>
          <w:rFonts w:ascii="Arial" w:hAnsi="Arial" w:cs="Arial"/>
        </w:rPr>
      </w:pPr>
      <w:r w:rsidRPr="001C6E91">
        <w:rPr>
          <w:noProof/>
        </w:rPr>
        <w:drawing>
          <wp:inline distT="0" distB="0" distL="0" distR="0" wp14:anchorId="73CDE209" wp14:editId="3C657B3B">
            <wp:extent cx="1771540" cy="1328655"/>
            <wp:effectExtent l="0" t="0" r="635" b="508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811118\OneDrive - PGA\Desktop\Fotos Instalações\IMG_453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540" cy="132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  <w:r w:rsidRPr="001C6E91">
        <w:rPr>
          <w:noProof/>
        </w:rPr>
        <w:drawing>
          <wp:inline distT="0" distB="0" distL="0" distR="0" wp14:anchorId="1C355449" wp14:editId="44EF43CB">
            <wp:extent cx="1771540" cy="1328655"/>
            <wp:effectExtent l="0" t="0" r="635" b="508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811118\OneDrive - PGA\Desktop\Fotos Instalações\IMG_453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540" cy="132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C99" w:rsidRPr="00744C99" w:rsidRDefault="00744C99" w:rsidP="00744C99"/>
    <w:p w:rsidR="009107E6" w:rsidRDefault="009107E6" w:rsidP="009107E6">
      <w:pPr>
        <w:rPr>
          <w:rFonts w:cs="Arial"/>
          <w:szCs w:val="22"/>
        </w:rPr>
      </w:pPr>
    </w:p>
    <w:p w:rsidR="009107E6" w:rsidRDefault="009107E6" w:rsidP="009107E6">
      <w:pPr>
        <w:pStyle w:val="Cabealho1"/>
      </w:pPr>
      <w:r>
        <w:t>Descarga do efluente</w:t>
      </w:r>
    </w:p>
    <w:p w:rsidR="009107E6" w:rsidRDefault="009107E6" w:rsidP="009107E6"/>
    <w:p w:rsidR="008A1C3E" w:rsidRDefault="009107E6" w:rsidP="009107E6">
      <w:pPr>
        <w:rPr>
          <w:rFonts w:cs="Arial"/>
          <w:szCs w:val="22"/>
        </w:rPr>
      </w:pPr>
      <w:r>
        <w:t xml:space="preserve">Após ser sujeito aos tratamentos apresentados anteriormente, o efluente é descarregado no solo, com um caudal médio diário </w:t>
      </w:r>
      <w:r w:rsidR="008A1C3E">
        <w:t>no ano de 201</w:t>
      </w:r>
      <w:r w:rsidR="00744C99">
        <w:t>8</w:t>
      </w:r>
      <w:r w:rsidR="008A1C3E">
        <w:t xml:space="preserve"> </w:t>
      </w:r>
      <w:r>
        <w:t xml:space="preserve">de </w:t>
      </w:r>
      <w:r w:rsidR="00DD2323" w:rsidRPr="00DD2323">
        <w:t>414,18</w:t>
      </w:r>
      <w:r w:rsidRPr="00DD2323">
        <w:t xml:space="preserve"> m</w:t>
      </w:r>
      <w:r w:rsidRPr="00DD2323">
        <w:rPr>
          <w:vertAlign w:val="superscript"/>
        </w:rPr>
        <w:t>3</w:t>
      </w:r>
      <w:r w:rsidRPr="00DD2323">
        <w:t>/dia.</w:t>
      </w:r>
      <w:r w:rsidR="00744C99">
        <w:t xml:space="preserve"> </w:t>
      </w:r>
      <w:r w:rsidR="00744C99">
        <w:rPr>
          <w:rFonts w:cs="Arial"/>
          <w:szCs w:val="22"/>
        </w:rPr>
        <w:t xml:space="preserve">A medição do canal de efluente tratado é realizada em canal </w:t>
      </w:r>
      <w:proofErr w:type="spellStart"/>
      <w:r w:rsidR="00744C99">
        <w:rPr>
          <w:rFonts w:cs="Arial"/>
          <w:szCs w:val="22"/>
        </w:rPr>
        <w:t>Parshall</w:t>
      </w:r>
      <w:proofErr w:type="spellEnd"/>
      <w:r w:rsidR="00744C99">
        <w:rPr>
          <w:rFonts w:cs="Arial"/>
          <w:szCs w:val="22"/>
        </w:rPr>
        <w:t xml:space="preserve"> utilizando um sensor </w:t>
      </w:r>
      <w:proofErr w:type="spellStart"/>
      <w:r w:rsidR="00744C99">
        <w:rPr>
          <w:rFonts w:cs="Arial"/>
          <w:szCs w:val="22"/>
        </w:rPr>
        <w:t>ultrasónico</w:t>
      </w:r>
      <w:proofErr w:type="spellEnd"/>
      <w:r w:rsidR="00744C99">
        <w:rPr>
          <w:rFonts w:cs="Arial"/>
          <w:szCs w:val="22"/>
        </w:rPr>
        <w:t>.</w:t>
      </w:r>
    </w:p>
    <w:p w:rsidR="00744C99" w:rsidRDefault="00744C99" w:rsidP="009107E6"/>
    <w:p w:rsidR="009107E6" w:rsidRDefault="008A1C3E" w:rsidP="008A1C3E">
      <w:pPr>
        <w:jc w:val="center"/>
      </w:pPr>
      <w:r>
        <w:rPr>
          <w:noProof/>
        </w:rPr>
        <w:lastRenderedPageBreak/>
        <w:drawing>
          <wp:inline distT="0" distB="0" distL="0" distR="0">
            <wp:extent cx="1918970" cy="1440180"/>
            <wp:effectExtent l="0" t="0" r="0" b="0"/>
            <wp:docPr id="3" name="Imagem 2" descr="DSC029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991.JPG"/>
                    <pic:cNvPicPr/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8970" cy="14401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A1C3E" w:rsidRDefault="008A1C3E" w:rsidP="009107E6">
      <w:pPr>
        <w:rPr>
          <w:rFonts w:cs="Arial"/>
          <w:szCs w:val="22"/>
        </w:rPr>
      </w:pPr>
    </w:p>
    <w:p w:rsidR="008A1C3E" w:rsidRDefault="00200C53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Cumprindo o </w:t>
      </w:r>
      <w:r w:rsidR="008A1C3E">
        <w:rPr>
          <w:rFonts w:cs="Arial"/>
          <w:szCs w:val="22"/>
        </w:rPr>
        <w:t xml:space="preserve">disposto na Licença de Descarga de Águas Residuais, Alvará n.º AR/2011/42, </w:t>
      </w:r>
      <w:r w:rsidR="009107E6">
        <w:rPr>
          <w:rFonts w:cs="Arial"/>
          <w:szCs w:val="22"/>
        </w:rPr>
        <w:t xml:space="preserve">são realizadas </w:t>
      </w:r>
      <w:r>
        <w:rPr>
          <w:rFonts w:cs="Arial"/>
          <w:szCs w:val="22"/>
        </w:rPr>
        <w:t xml:space="preserve">mensalmente </w:t>
      </w:r>
      <w:r w:rsidR="009107E6">
        <w:rPr>
          <w:rFonts w:cs="Arial"/>
          <w:szCs w:val="22"/>
        </w:rPr>
        <w:t>colheitas de água, imediatamente à saída da ETAR da instalação,</w:t>
      </w:r>
      <w:r w:rsidR="008A1C3E">
        <w:rPr>
          <w:rFonts w:cs="Arial"/>
          <w:szCs w:val="22"/>
        </w:rPr>
        <w:t xml:space="preserve"> sendo a mesma enviada para um laboratório acreditado, INOVA – Instituto de Inovação Tecnológica dos Açores. </w:t>
      </w:r>
    </w:p>
    <w:p w:rsidR="00200C53" w:rsidRDefault="00200C53" w:rsidP="00200C53">
      <w:pPr>
        <w:rPr>
          <w:rFonts w:cs="Arial"/>
          <w:szCs w:val="22"/>
        </w:rPr>
      </w:pPr>
    </w:p>
    <w:p w:rsidR="00363C03" w:rsidRDefault="00363C03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Tendo em consideração os Valores Limites de Emissão (VLE) definidos pelo Decreto-Lei n.º 236/98, de 1 de agosto e os Valores de Emissão Associados (VEA) definidos nas </w:t>
      </w:r>
      <w:proofErr w:type="spellStart"/>
      <w:r>
        <w:rPr>
          <w:rFonts w:cs="Arial"/>
          <w:szCs w:val="22"/>
        </w:rPr>
        <w:t>MTDs</w:t>
      </w:r>
      <w:proofErr w:type="spellEnd"/>
      <w:r>
        <w:rPr>
          <w:rFonts w:cs="Arial"/>
          <w:szCs w:val="22"/>
        </w:rPr>
        <w:t xml:space="preserve"> para a atividade do matadouro, constata-se que para alguns dos parâmetros monitorizados </w:t>
      </w:r>
      <w:r w:rsidR="00744C99">
        <w:rPr>
          <w:rFonts w:cs="Arial"/>
          <w:szCs w:val="22"/>
        </w:rPr>
        <w:t>os limites foram ultrapassados.</w:t>
      </w:r>
    </w:p>
    <w:p w:rsidR="00363C03" w:rsidRDefault="00363C03" w:rsidP="009107E6">
      <w:pPr>
        <w:rPr>
          <w:rFonts w:cs="Arial"/>
          <w:szCs w:val="22"/>
        </w:rPr>
      </w:pPr>
    </w:p>
    <w:p w:rsidR="009107E6" w:rsidRDefault="009107E6" w:rsidP="009107E6">
      <w:pPr>
        <w:rPr>
          <w:rFonts w:cs="Arial"/>
          <w:szCs w:val="22"/>
        </w:rPr>
      </w:pPr>
      <w:r>
        <w:rPr>
          <w:rFonts w:cs="Arial"/>
          <w:szCs w:val="22"/>
        </w:rPr>
        <w:t xml:space="preserve">O facto de existiram alguns parâmetros não conformes, está essencialmente relacionado com a carga orgânica presente nas águas residuais, que se encontra </w:t>
      </w:r>
      <w:r w:rsidR="00744C99">
        <w:rPr>
          <w:rFonts w:cs="Arial"/>
          <w:szCs w:val="22"/>
        </w:rPr>
        <w:t>diretamente</w:t>
      </w:r>
      <w:r>
        <w:rPr>
          <w:rFonts w:cs="Arial"/>
          <w:szCs w:val="22"/>
        </w:rPr>
        <w:t xml:space="preserve"> dependente do tipo e da quantidade de animais abatidos no dia em que é feita a recolha da amostra para análise.</w:t>
      </w:r>
    </w:p>
    <w:p w:rsidR="009107E6" w:rsidRDefault="009107E6" w:rsidP="00DD3573">
      <w:pPr>
        <w:jc w:val="left"/>
        <w:rPr>
          <w:rFonts w:cs="Arial"/>
          <w:szCs w:val="22"/>
        </w:rPr>
      </w:pPr>
    </w:p>
    <w:p w:rsidR="00DD3573" w:rsidRPr="00DD3573" w:rsidRDefault="00DD3573" w:rsidP="00DD3573">
      <w:pPr>
        <w:rPr>
          <w:rFonts w:cs="Arial"/>
          <w:szCs w:val="22"/>
        </w:rPr>
      </w:pPr>
      <w:r>
        <w:rPr>
          <w:rFonts w:cs="Arial"/>
          <w:szCs w:val="22"/>
        </w:rPr>
        <w:t xml:space="preserve">O IAMA – Matadouro de São Miguel celebrou um contrato de serviços de consultadoria com a empresa </w:t>
      </w:r>
      <w:proofErr w:type="spellStart"/>
      <w:r>
        <w:rPr>
          <w:rFonts w:cs="Arial"/>
          <w:szCs w:val="22"/>
        </w:rPr>
        <w:t>LiberAqua</w:t>
      </w:r>
      <w:proofErr w:type="spellEnd"/>
      <w:r>
        <w:rPr>
          <w:rFonts w:cs="Arial"/>
          <w:szCs w:val="22"/>
        </w:rPr>
        <w:t xml:space="preserve"> - Tratamento de Águas, Lda, com o </w:t>
      </w:r>
      <w:proofErr w:type="spellStart"/>
      <w:r>
        <w:rPr>
          <w:rFonts w:cs="Arial"/>
          <w:szCs w:val="22"/>
        </w:rPr>
        <w:t>objectivo</w:t>
      </w:r>
      <w:proofErr w:type="spellEnd"/>
      <w:r>
        <w:rPr>
          <w:rFonts w:cs="Arial"/>
          <w:szCs w:val="22"/>
        </w:rPr>
        <w:t xml:space="preserve"> de proceder ás devidas correções tendo em vista o cumprimento de todos os VLE e VEA. </w:t>
      </w:r>
      <w:bookmarkStart w:id="0" w:name="_GoBack"/>
      <w:bookmarkEnd w:id="0"/>
    </w:p>
    <w:sectPr w:rsidR="00DD3573" w:rsidRPr="00DD3573" w:rsidSect="00402133">
      <w:headerReference w:type="default" r:id="rId20"/>
      <w:footerReference w:type="default" r:id="rId21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980" w:rsidRDefault="00764980">
      <w:r>
        <w:separator/>
      </w:r>
    </w:p>
  </w:endnote>
  <w:endnote w:type="continuationSeparator" w:id="0">
    <w:p w:rsidR="00764980" w:rsidRDefault="00764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980" w:rsidRPr="006645CC" w:rsidRDefault="00764980" w:rsidP="006645CC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 w:rsidR="00DD2323">
      <w:rPr>
        <w:rFonts w:cs="Arial"/>
        <w:b/>
        <w:sz w:val="16"/>
        <w:szCs w:val="16"/>
      </w:rPr>
      <w:t xml:space="preserve"> LA </w:t>
    </w:r>
    <w:proofErr w:type="gramStart"/>
    <w:r w:rsidR="00DD2323">
      <w:rPr>
        <w:rFonts w:cs="Arial"/>
        <w:b/>
        <w:sz w:val="16"/>
        <w:szCs w:val="16"/>
      </w:rPr>
      <w:t>N.º</w:t>
    </w:r>
    <w:proofErr w:type="gramEnd"/>
    <w:r w:rsidR="00DD2323">
      <w:rPr>
        <w:rFonts w:cs="Arial"/>
        <w:b/>
        <w:sz w:val="16"/>
        <w:szCs w:val="16"/>
      </w:rPr>
      <w:t>1/2017</w:t>
    </w:r>
    <w:r>
      <w:rPr>
        <w:rFonts w:cs="Arial"/>
        <w:b/>
        <w:sz w:val="16"/>
        <w:szCs w:val="16"/>
      </w:rPr>
      <w:t>/DRA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980" w:rsidRDefault="00764980">
      <w:r>
        <w:separator/>
      </w:r>
    </w:p>
  </w:footnote>
  <w:footnote w:type="continuationSeparator" w:id="0">
    <w:p w:rsidR="00764980" w:rsidRDefault="00764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980" w:rsidRDefault="008E2F70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764980" w:rsidRPr="006123B8" w:rsidRDefault="00764980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764980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 wp14:anchorId="152AE6DC" wp14:editId="29E74F47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4980">
      <w:rPr>
        <w:b/>
        <w:i/>
        <w:sz w:val="18"/>
      </w:rPr>
      <w:t xml:space="preserve">   </w:t>
    </w:r>
  </w:p>
  <w:p w:rsidR="00764980" w:rsidRDefault="00764980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764980" w:rsidRPr="00BB7F4F" w:rsidRDefault="0076498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59DF"/>
    <w:multiLevelType w:val="multilevel"/>
    <w:tmpl w:val="F3220854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B53EE7"/>
    <w:multiLevelType w:val="hybridMultilevel"/>
    <w:tmpl w:val="A94C5E6E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1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022C3"/>
    <w:rsid w:val="00014FAE"/>
    <w:rsid w:val="00025ED4"/>
    <w:rsid w:val="000665BE"/>
    <w:rsid w:val="000911D0"/>
    <w:rsid w:val="000E1D66"/>
    <w:rsid w:val="000E583B"/>
    <w:rsid w:val="000F26C8"/>
    <w:rsid w:val="000F2A33"/>
    <w:rsid w:val="001B4251"/>
    <w:rsid w:val="00200C53"/>
    <w:rsid w:val="00240110"/>
    <w:rsid w:val="00244B00"/>
    <w:rsid w:val="002554CA"/>
    <w:rsid w:val="002A29A7"/>
    <w:rsid w:val="002A683E"/>
    <w:rsid w:val="002C066A"/>
    <w:rsid w:val="002F45D3"/>
    <w:rsid w:val="00302E1F"/>
    <w:rsid w:val="00307118"/>
    <w:rsid w:val="0033302C"/>
    <w:rsid w:val="00354ED8"/>
    <w:rsid w:val="0036089A"/>
    <w:rsid w:val="00363C03"/>
    <w:rsid w:val="00371866"/>
    <w:rsid w:val="00392632"/>
    <w:rsid w:val="00396C0F"/>
    <w:rsid w:val="00402133"/>
    <w:rsid w:val="004119E3"/>
    <w:rsid w:val="004275F3"/>
    <w:rsid w:val="00450550"/>
    <w:rsid w:val="00455585"/>
    <w:rsid w:val="004B41E0"/>
    <w:rsid w:val="004B5891"/>
    <w:rsid w:val="00526E29"/>
    <w:rsid w:val="00586B44"/>
    <w:rsid w:val="005C76D7"/>
    <w:rsid w:val="005E4569"/>
    <w:rsid w:val="005E477F"/>
    <w:rsid w:val="006123B8"/>
    <w:rsid w:val="00636ED6"/>
    <w:rsid w:val="00660C99"/>
    <w:rsid w:val="006645CC"/>
    <w:rsid w:val="00671312"/>
    <w:rsid w:val="00692E5F"/>
    <w:rsid w:val="006C2C40"/>
    <w:rsid w:val="006E65DD"/>
    <w:rsid w:val="00744C99"/>
    <w:rsid w:val="00744EC9"/>
    <w:rsid w:val="00764980"/>
    <w:rsid w:val="007B73C8"/>
    <w:rsid w:val="007B73E6"/>
    <w:rsid w:val="007D48FB"/>
    <w:rsid w:val="007E63B5"/>
    <w:rsid w:val="007F3293"/>
    <w:rsid w:val="007F5335"/>
    <w:rsid w:val="0082417D"/>
    <w:rsid w:val="008A1C3E"/>
    <w:rsid w:val="008B5656"/>
    <w:rsid w:val="008D5A7C"/>
    <w:rsid w:val="008E2F70"/>
    <w:rsid w:val="008E7D4D"/>
    <w:rsid w:val="008F7F87"/>
    <w:rsid w:val="00907DE1"/>
    <w:rsid w:val="009107E6"/>
    <w:rsid w:val="00930FC8"/>
    <w:rsid w:val="00944C60"/>
    <w:rsid w:val="00957C6B"/>
    <w:rsid w:val="00987E28"/>
    <w:rsid w:val="009B6D29"/>
    <w:rsid w:val="009C73F5"/>
    <w:rsid w:val="009E3EE4"/>
    <w:rsid w:val="009F00AC"/>
    <w:rsid w:val="00A5171C"/>
    <w:rsid w:val="00A773E8"/>
    <w:rsid w:val="00AA10F1"/>
    <w:rsid w:val="00AB6604"/>
    <w:rsid w:val="00AE14F8"/>
    <w:rsid w:val="00B06D2B"/>
    <w:rsid w:val="00B16D1E"/>
    <w:rsid w:val="00B17650"/>
    <w:rsid w:val="00B24E30"/>
    <w:rsid w:val="00B343F4"/>
    <w:rsid w:val="00B350B5"/>
    <w:rsid w:val="00B445F2"/>
    <w:rsid w:val="00B519D5"/>
    <w:rsid w:val="00B57E7A"/>
    <w:rsid w:val="00B66CC2"/>
    <w:rsid w:val="00B97062"/>
    <w:rsid w:val="00BA59CD"/>
    <w:rsid w:val="00BB7F4F"/>
    <w:rsid w:val="00C842CD"/>
    <w:rsid w:val="00CB438F"/>
    <w:rsid w:val="00CD2609"/>
    <w:rsid w:val="00CF49E5"/>
    <w:rsid w:val="00D01413"/>
    <w:rsid w:val="00D1313B"/>
    <w:rsid w:val="00D16FB1"/>
    <w:rsid w:val="00D37951"/>
    <w:rsid w:val="00D51746"/>
    <w:rsid w:val="00DB7C0E"/>
    <w:rsid w:val="00DD2323"/>
    <w:rsid w:val="00DD3573"/>
    <w:rsid w:val="00E44334"/>
    <w:rsid w:val="00E667E9"/>
    <w:rsid w:val="00E96A54"/>
    <w:rsid w:val="00EB7B52"/>
    <w:rsid w:val="00EC7366"/>
    <w:rsid w:val="00F07488"/>
    <w:rsid w:val="00F60EBE"/>
    <w:rsid w:val="00FC0FF3"/>
    <w:rsid w:val="00FC7ABF"/>
    <w:rsid w:val="00FF7254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21B4EF65"/>
  <w15:docId w15:val="{1A6F61AE-D3A4-4154-8B11-121ED6434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arter"/>
    <w:rsid w:val="006645CC"/>
    <w:pPr>
      <w:widowControl w:val="0"/>
      <w:tabs>
        <w:tab w:val="left" w:pos="3119"/>
        <w:tab w:val="left" w:pos="5670"/>
      </w:tabs>
      <w:spacing w:line="360" w:lineRule="auto"/>
    </w:pPr>
    <w:rPr>
      <w:rFonts w:ascii="Times New Roman" w:hAnsi="Times New Roman"/>
      <w:sz w:val="24"/>
      <w:szCs w:val="20"/>
      <w:lang w:val="en-AU" w:eastAsia="en-US"/>
    </w:rPr>
  </w:style>
  <w:style w:type="character" w:customStyle="1" w:styleId="CorpodetextoCarter">
    <w:name w:val="Corpo de texto Caráter"/>
    <w:basedOn w:val="Tipodeletrapredefinidodopargrafo"/>
    <w:link w:val="Corpodetexto"/>
    <w:rsid w:val="006645CC"/>
    <w:rPr>
      <w:rFonts w:eastAsia="Times New Roman"/>
      <w:sz w:val="24"/>
      <w:lang w:val="en-AU" w:eastAsia="en-US"/>
    </w:rPr>
  </w:style>
  <w:style w:type="table" w:styleId="Tabelacomgrelha">
    <w:name w:val="Table Grid"/>
    <w:basedOn w:val="Tabelanormal"/>
    <w:rsid w:val="009107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B77DA-6F85-4EE6-A13F-8A365B2706DE}">
  <ds:schemaRefs/>
</ds:datastoreItem>
</file>

<file path=customXml/itemProps2.xml><?xml version="1.0" encoding="utf-8"?>
<ds:datastoreItem xmlns:ds="http://schemas.openxmlformats.org/officeDocument/2006/customXml" ds:itemID="{08D9DBB1-8973-4A49-B012-93F5E920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7</Pages>
  <Words>1954</Words>
  <Characters>10572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AN2.14</vt:lpstr>
    </vt:vector>
  </TitlesOfParts>
  <Company>CMFG</Company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AN2.14</dc:title>
  <dc:subject/>
  <dc:creator>Lídia Prior</dc:creator>
  <cp:keywords/>
  <dc:description/>
  <cp:lastModifiedBy>João NPL. Gomes</cp:lastModifiedBy>
  <cp:revision>20</cp:revision>
  <cp:lastPrinted>2019-12-04T09:51:00Z</cp:lastPrinted>
  <dcterms:created xsi:type="dcterms:W3CDTF">2010-03-22T12:52:00Z</dcterms:created>
  <dcterms:modified xsi:type="dcterms:W3CDTF">2019-12-04T09:54:00Z</dcterms:modified>
</cp:coreProperties>
</file>